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/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МИНИСТЕРСТВО КУЛЬТУРЫ РОССИЙСКОЙ ФЕДЕРАЦИИ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ФЕДЕРАЛЬНОЕ ГОСУДАРСТВЕННОЕ БЮДЖЕТНОЕ ОБРАЗОВАТЕЛЬНОЕ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ВЫСШЕГО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«САНКТ-ПЕТЕРБУРГСКИЙ ГОСУДАРСТВЕННЫЙ ИНСТИТУТ КУЛЬТУРЫ»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Кафедра физического воспитания</w:t>
      </w:r>
      <w:r/>
    </w:p>
    <w:p>
      <w:pPr>
        <w:ind w:firstLine="284"/>
        <w:jc w:val="center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firstLine="284"/>
        <w:jc w:val="center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презентаций по дисциплине ОВП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1.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Общая с</w:t>
      </w:r>
      <w:r>
        <w:rPr>
          <w:rFonts w:ascii="Times New Roman" w:hAnsi="Times New Roman" w:cs="Times New Roman"/>
          <w:sz w:val="20"/>
          <w:szCs w:val="20"/>
        </w:rPr>
        <w:t xml:space="preserve">труктура общевоинских уставов.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Основные т</w:t>
      </w:r>
      <w:r>
        <w:rPr>
          <w:rFonts w:ascii="Times New Roman" w:hAnsi="Times New Roman" w:cs="Times New Roman"/>
          <w:sz w:val="20"/>
          <w:szCs w:val="20"/>
        </w:rPr>
        <w:t xml:space="preserve">ребования общевоинских уставов.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общевоинских уставов в России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одержание общевоинских уставов. </w:t>
      </w:r>
      <w:r>
        <w:rPr>
          <w:rFonts w:ascii="Times New Roman" w:hAnsi="Times New Roman" w:cs="Times New Roman"/>
          <w:sz w:val="20"/>
          <w:szCs w:val="20"/>
        </w:rPr>
        <w:t xml:space="preserve">Общие обязанности военнослужащих.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Понятие о д</w:t>
      </w:r>
      <w:r>
        <w:rPr>
          <w:rFonts w:ascii="Times New Roman" w:hAnsi="Times New Roman" w:cs="Times New Roman"/>
          <w:sz w:val="20"/>
          <w:szCs w:val="20"/>
        </w:rPr>
        <w:t xml:space="preserve">олжностны</w:t>
      </w:r>
      <w:r>
        <w:rPr>
          <w:rFonts w:ascii="Times New Roman" w:hAnsi="Times New Roman" w:cs="Times New Roman"/>
          <w:sz w:val="20"/>
          <w:szCs w:val="20"/>
        </w:rPr>
        <w:t xml:space="preserve">х</w:t>
      </w:r>
      <w:r>
        <w:rPr>
          <w:rFonts w:ascii="Times New Roman" w:hAnsi="Times New Roman" w:cs="Times New Roman"/>
          <w:sz w:val="20"/>
          <w:szCs w:val="20"/>
        </w:rPr>
        <w:t xml:space="preserve"> и специальны</w:t>
      </w:r>
      <w:r>
        <w:rPr>
          <w:rFonts w:ascii="Times New Roman" w:hAnsi="Times New Roman" w:cs="Times New Roman"/>
          <w:sz w:val="20"/>
          <w:szCs w:val="20"/>
        </w:rPr>
        <w:t xml:space="preserve">х</w:t>
      </w:r>
      <w:r>
        <w:rPr>
          <w:rFonts w:ascii="Times New Roman" w:hAnsi="Times New Roman" w:cs="Times New Roman"/>
          <w:sz w:val="20"/>
          <w:szCs w:val="20"/>
        </w:rPr>
        <w:t xml:space="preserve"> обязанност</w:t>
      </w:r>
      <w:r>
        <w:rPr>
          <w:rFonts w:ascii="Times New Roman" w:hAnsi="Times New Roman" w:cs="Times New Roman"/>
          <w:sz w:val="20"/>
          <w:szCs w:val="20"/>
        </w:rPr>
        <w:t xml:space="preserve">ях</w:t>
      </w:r>
      <w:r>
        <w:rPr>
          <w:rFonts w:ascii="Times New Roman" w:hAnsi="Times New Roman" w:cs="Times New Roman"/>
          <w:sz w:val="20"/>
          <w:szCs w:val="20"/>
        </w:rPr>
        <w:t xml:space="preserve"> военнослужащих.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Обязанности командира взвода.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Обязанности заместителя командира взвода.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Обязанности командира отделения.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Ответственность военнослужащих.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Принцип е</w:t>
      </w:r>
      <w:r>
        <w:rPr>
          <w:rFonts w:ascii="Times New Roman" w:hAnsi="Times New Roman" w:cs="Times New Roman"/>
          <w:sz w:val="20"/>
          <w:szCs w:val="20"/>
        </w:rPr>
        <w:t xml:space="preserve">диноначали</w:t>
      </w:r>
      <w:r>
        <w:rPr>
          <w:rFonts w:ascii="Times New Roman" w:hAnsi="Times New Roman" w:cs="Times New Roman"/>
          <w:sz w:val="20"/>
          <w:szCs w:val="20"/>
        </w:rPr>
        <w:t xml:space="preserve">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Начальники и подчиненные.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Старшие и младшие. Приказ и приказание. Порядок отдачи и выполнение приказа.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Военная присяга (обязательство) и их значение.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приведения к Военной присяге (принесения обязательства) военнослужащих.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Ответственность в случае нарушения Военной присяги (обязательства).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Воинская вежливость.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Воинская дисциплина военнослужащих.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2.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прохождения службы.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Распределение времени. Повседневный порядок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Воинские звания и знаки различия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к р</w:t>
      </w:r>
      <w:r>
        <w:rPr>
          <w:rFonts w:ascii="Times New Roman" w:hAnsi="Times New Roman" w:cs="Times New Roman"/>
          <w:sz w:val="20"/>
          <w:szCs w:val="20"/>
        </w:rPr>
        <w:t xml:space="preserve">азмещени</w:t>
      </w:r>
      <w:r>
        <w:rPr>
          <w:rFonts w:ascii="Times New Roman" w:hAnsi="Times New Roman" w:cs="Times New Roman"/>
          <w:sz w:val="20"/>
          <w:szCs w:val="20"/>
        </w:rPr>
        <w:t xml:space="preserve">ю</w:t>
      </w:r>
      <w:r>
        <w:rPr>
          <w:rFonts w:ascii="Times New Roman" w:hAnsi="Times New Roman" w:cs="Times New Roman"/>
          <w:sz w:val="20"/>
          <w:szCs w:val="20"/>
        </w:rPr>
        <w:t xml:space="preserve"> военнослужащих.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Помещения роты, их назначение.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Оборудование и содержание помещений роты. Порядок хранения, приема и выдачи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Уборка помещений, обязанности очередного уборщика.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3. </w:t>
      </w:r>
      <w:r>
        <w:rPr>
          <w:rFonts w:ascii="Times New Roman" w:hAnsi="Times New Roman" w:cs="Times New Roman"/>
          <w:sz w:val="20"/>
          <w:szCs w:val="20"/>
        </w:rPr>
        <w:t xml:space="preserve">Суточный наряд роты.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Предназначение, состав суточный наряд роты. Дневальный по роте и его обязанности. Дежурный по роте и его обязанности. Развод суточного наряда.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Устав гарнизонной и караульной службы.</w:t>
      </w:r>
      <w:r>
        <w:rPr>
          <w:rFonts w:ascii="Times New Roman" w:hAnsi="Times New Roman" w:cs="Times New Roman"/>
          <w:sz w:val="20"/>
          <w:szCs w:val="20"/>
        </w:rPr>
        <w:t xml:space="preserve"> Обязанности разводящего. </w:t>
      </w:r>
      <w:r>
        <w:rPr>
          <w:rFonts w:ascii="Times New Roman" w:hAnsi="Times New Roman" w:cs="Times New Roman"/>
          <w:sz w:val="20"/>
          <w:szCs w:val="20"/>
        </w:rPr>
        <w:t xml:space="preserve">Обязанности часового.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Действия часового при нападении на пост.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применения оружия.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3.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 Строй и его элементы. Виды строя. Сигналы для управления строем. Команды и порядок их подачи. Обязанности командиров, военнослужащих перед построением и в строю.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Строевой расчет. Строевая стойка. Выполнение команд: «Становись», «Равняйсь», «Смирно», «Вольно», «Заправиться». Повороты на месте. Строевой шаг.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Движение строевым шагом. Движение строевым шагом в составе подразделения. Повороты в движении. Движение в составе взвода. Управление подразделением в движении.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Строевой смотр роты. Одиночная строевая подготовка. Строевая слаженность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одразделений.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Прохождение торжественным маршем. Прохождение с песней.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4.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Понятие оружия, к</w:t>
      </w:r>
      <w:r>
        <w:rPr>
          <w:rFonts w:ascii="Times New Roman" w:hAnsi="Times New Roman" w:cs="Times New Roman"/>
          <w:sz w:val="20"/>
          <w:szCs w:val="20"/>
        </w:rPr>
        <w:t xml:space="preserve">раткая историчес</w:t>
      </w:r>
      <w:r>
        <w:rPr>
          <w:rFonts w:ascii="Times New Roman" w:hAnsi="Times New Roman" w:cs="Times New Roman"/>
          <w:sz w:val="20"/>
          <w:szCs w:val="20"/>
        </w:rPr>
        <w:t xml:space="preserve">кая справка </w:t>
      </w:r>
      <w:r>
        <w:rPr>
          <w:rFonts w:ascii="Times New Roman" w:hAnsi="Times New Roman" w:cs="Times New Roman"/>
          <w:sz w:val="20"/>
          <w:szCs w:val="20"/>
        </w:rPr>
        <w:t xml:space="preserve">ег</w:t>
      </w:r>
      <w:r>
        <w:rPr>
          <w:rFonts w:ascii="Times New Roman" w:hAnsi="Times New Roman" w:cs="Times New Roman"/>
          <w:sz w:val="20"/>
          <w:szCs w:val="20"/>
        </w:rPr>
        <w:t xml:space="preserve">о развити</w:t>
      </w:r>
      <w:r>
        <w:rPr>
          <w:rFonts w:ascii="Times New Roman" w:hAnsi="Times New Roman" w:cs="Times New Roman"/>
          <w:sz w:val="20"/>
          <w:szCs w:val="20"/>
        </w:rPr>
        <w:t xml:space="preserve">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Краткая историческая справка </w:t>
      </w:r>
      <w:r>
        <w:rPr>
          <w:rFonts w:ascii="Times New Roman" w:hAnsi="Times New Roman" w:cs="Times New Roman"/>
          <w:sz w:val="20"/>
          <w:szCs w:val="20"/>
        </w:rPr>
        <w:t xml:space="preserve">о развитии стрелкового оружия. </w:t>
      </w:r>
      <w:r>
        <w:rPr>
          <w:rFonts w:ascii="Times New Roman" w:hAnsi="Times New Roman" w:cs="Times New Roman"/>
          <w:sz w:val="20"/>
          <w:szCs w:val="20"/>
        </w:rPr>
        <w:t xml:space="preserve">Классификация стрелкового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Виды боевого стрелкового оружия, состоящего на вооружении в России.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Классификация автоматического оружия   по принципам работы автоматики.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Оружие древней Руси.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изобретения пулемета.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Оружие первой мировой войны.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Оружие второй мировой войны.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автомата Калашникова.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снайперского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артиллерии.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танков.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ручных гранат.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гранатометов.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безопасности при обращении со стрелковым оружием.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безопасности при проведении занятий по огневой подготовке.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безопасности при организации и проведении стрельб из стрелкового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Приемы и правила стрельбы из стрелкового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безопасности при обращении с ручными гранатами.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</w:t>
      </w:r>
      <w:r>
        <w:rPr>
          <w:rFonts w:ascii="Times New Roman" w:hAnsi="Times New Roman" w:cs="Times New Roman"/>
          <w:b/>
          <w:sz w:val="20"/>
          <w:szCs w:val="20"/>
        </w:rPr>
        <w:t xml:space="preserve">еминар 5.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1. </w:t>
      </w:r>
      <w:r>
        <w:rPr>
          <w:rFonts w:ascii="Times New Roman" w:hAnsi="Times New Roman" w:cs="Times New Roman"/>
          <w:sz w:val="20"/>
          <w:szCs w:val="20"/>
        </w:rPr>
        <w:t xml:space="preserve">Назначение, боевые свойства АК-74 и РПК-74. Устройство АК-74 и РПК-74.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 частей и механизмов АК-74, РПК-74.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Работа частей и механизмов АК-74 при заряжании и стрельбе. Возможные задержки и неисправности, возникающие при стрельбе, и способы их устранения.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боевые свойства ПМ. Устройство ПМ.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 частей  ПМ.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Работа частей и механизмов ПМ при заряжании и стрельбе. Возможные задержки и неисправности, возникающие при стрельбе, и способы их устранения.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 и боевые свойства ручных наступательных, оборонительных и противотанковых гранат.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Устройство гранат. Работа частей и механизмов гранат. Подготовка ручных гранат к применению. Требования безопасности при обращении с ручными гранатами.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Отечественные конструкторы стрелкового оружия: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Михаил Тимофеевич Калашников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Макаров Николай Фёдорович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Евгений Драгунов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Сергей Мосин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6.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структура мотострелкового взвода ВС РФ.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структура мотострелковой роты ВС РФ.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структура мотострелкового батальона ВС РФ.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структура танковой роты ВС РФ.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структура танкового батальона ВС РФ.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Тактика - технические характеристики БТР-80.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Тактика - технические характеристики БМП-2.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Тактика - технические характеристики БМП-3.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Тактика - технические характеристики Т-90.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Тактика - технические характеристики Т-80У.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203-мм самоходная пушка большой мощности 2С7М «Малка».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152-ммсамоходная гаубица 2С19 «Мста-С».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122-мм самоходная гаубица 2С1 «Гвоздика».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152-мм самоходная гаубица 2С3 «Акация».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120-мм самоходная пушка-гаубица-миномёт 2С23 «Нона-СВК».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300-мм реактивная система залпового огня 9К515 «Торнадо-</w:t>
      </w:r>
      <w:r>
        <w:rPr>
          <w:rFonts w:ascii="Times New Roman" w:hAnsi="Times New Roman" w:cs="Times New Roman"/>
          <w:sz w:val="20"/>
          <w:szCs w:val="20"/>
        </w:rPr>
        <w:t xml:space="preserve">C</w:t>
      </w:r>
      <w:r>
        <w:rPr>
          <w:rFonts w:ascii="Times New Roman" w:hAnsi="Times New Roman" w:cs="Times New Roman"/>
          <w:sz w:val="20"/>
          <w:szCs w:val="20"/>
        </w:rPr>
        <w:t xml:space="preserve">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300-мм реактивная система залпового огня 9К58 «Смерч».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220-мм реактивная система залпового огня 9К57 «Ураган».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122-мм реактивная система залпового огня Изделие 2Б5 «Град».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Тактический ракетный комплекс </w:t>
      </w:r>
      <w:r>
        <w:rPr>
          <w:rFonts w:ascii="Times New Roman" w:hAnsi="Times New Roman" w:cs="Times New Roman"/>
          <w:sz w:val="20"/>
          <w:szCs w:val="20"/>
        </w:rPr>
        <w:t xml:space="preserve">Точка-У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7.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Цели и основные задачи инженерного обеспечения частей и подразделений.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класси</w:t>
      </w:r>
      <w:r>
        <w:rPr>
          <w:rFonts w:ascii="Times New Roman" w:hAnsi="Times New Roman" w:cs="Times New Roman"/>
          <w:sz w:val="20"/>
          <w:szCs w:val="20"/>
        </w:rPr>
        <w:t xml:space="preserve">фикация инженерных боеприпасов. </w:t>
      </w:r>
      <w:r>
        <w:rPr>
          <w:rFonts w:ascii="Times New Roman" w:hAnsi="Times New Roman" w:cs="Times New Roman"/>
          <w:sz w:val="20"/>
          <w:szCs w:val="20"/>
        </w:rPr>
        <w:t xml:space="preserve">Назначение, классификация инженерных заграждений и их характеристики.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Переправы при форсировании водных преград. Виды фортификационных сооружений.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Окопы, траншеи.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Ходы сообщения.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Щели – открытые и перекрытые.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Блиндажи.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Убежища.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Местность. Основные элементы местности.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Характеристики местности. Защитные свойства местности.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Разведка местности.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Рекогносцировка местности.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Основные задачи изучения местности.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Условия проходимости. Способы изучения местности.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Классификация топографических карт.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Рельеф, типовые формы рельефа.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Определение абсолютных высот.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Определение крутизны скатов.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8.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1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Оружие массового поражения.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ядерного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Поражающие факторы ядерного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Виды ядерных взрывов.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Мощность ядерных взрывов.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Поражающие факторы ядерного взрыва и их воздействие на организм человека, вооружение, технику и фортификационные сооружения.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Химическое оружие. Отравляющие вещества их назначение, классификация.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Боевые состояния, средства применения, признаки применения ОВ, их стойкость на местности.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Воздействие отравляющих веществ на организм человека.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Биологическое оружие.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Основные виды.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Поражающее действие.</w:t>
      </w:r>
      <w:r>
        <w:rPr>
          <w:rFonts w:ascii="Times New Roman" w:hAnsi="Times New Roman" w:cs="Times New Roman"/>
          <w:sz w:val="20"/>
          <w:szCs w:val="20"/>
        </w:rPr>
        <w:t xml:space="preserve"> Средства применения. </w:t>
      </w:r>
      <w:r>
        <w:rPr>
          <w:rFonts w:ascii="Times New Roman" w:hAnsi="Times New Roman" w:cs="Times New Roman"/>
          <w:sz w:val="20"/>
          <w:szCs w:val="20"/>
        </w:rPr>
        <w:t xml:space="preserve">Внешние признаки применения.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Зажигательное оружие.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Поражающие действия зажигательного оружия на личный состав, вооружение и военную технику.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Характеристика зажигательного оружия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Средства применения зажигательного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Способы защиты от зажигательного оружия.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9.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Цель, задачи и мероприятия РХБ защиты. Цели и порядок проведения частичной и полной специальной обработки.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Мероприятия специальной обработки: дегазация, дезактивация, дезинфекция, санитарная обработка.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Технические средства и приборы радиационной защиты.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Технические средства и приборы химической защиты.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Коллективные средства защиты.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Устройство и оборудование противорадиационных укрытий.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устройство и порядок работы с прибором ДП-5В.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устройство и порядок работы с прибором ДП 22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устройство и порядок работы с прибором ВПХР.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Способы защиты в военное время.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Способы защиты от ядерного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Способы защиты от химического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Способы защиты от биологического оружия.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Простейшие средства защиты от ОМП.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4. </w:t>
      </w:r>
      <w:r>
        <w:rPr>
          <w:rFonts w:ascii="Times New Roman" w:hAnsi="Times New Roman" w:cs="Times New Roman"/>
          <w:sz w:val="20"/>
          <w:szCs w:val="20"/>
        </w:rPr>
        <w:t xml:space="preserve">Средства индивидуальной защиты и порядок их использования. Назначение, устройство фильтрующего противогаза (ГП 7).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Подгонка и техническая проверка средств индивидуальной защиты.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Назначение, устройство общевойскового защитного комплекта (ОЗК).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Виды и назначение респираторов.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10.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Эвакуация, виды.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Принципы эвакуации.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Рассредоточение.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Тревожный чемодан.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действия населения при эвакуации.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Виды защитных сооружений. Классификация защитных сооружений. Устройство защитных сооружений.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Внутреннее оборудование защитных сооружений.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действия укрываемых в защитных сооружениях.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Меры по обеспечению личной безопасности при угрозе радиационных поражений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Эффекты радиационного облучения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Влияния радиоактивного излучения на организм человека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Лучевая болезнь.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Радиопротекторы.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История создания противогаза.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чего защищает фильтрующий противогаз.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Принцип работы </w:t>
      </w:r>
      <w:r>
        <w:rPr>
          <w:rFonts w:ascii="Times New Roman" w:hAnsi="Times New Roman" w:cs="Times New Roman"/>
          <w:sz w:val="20"/>
          <w:szCs w:val="20"/>
        </w:rPr>
        <w:t xml:space="preserve">фильтрующих</w:t>
      </w:r>
      <w:r>
        <w:rPr>
          <w:rFonts w:ascii="Times New Roman" w:hAnsi="Times New Roman" w:cs="Times New Roman"/>
          <w:sz w:val="20"/>
          <w:szCs w:val="20"/>
        </w:rPr>
        <w:t xml:space="preserve"> СИЗ.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Гопкалитовый</w:t>
      </w:r>
      <w:r>
        <w:rPr>
          <w:rFonts w:ascii="Times New Roman" w:hAnsi="Times New Roman" w:cs="Times New Roman"/>
          <w:sz w:val="20"/>
          <w:szCs w:val="20"/>
        </w:rPr>
        <w:t xml:space="preserve"> патрон.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Изолирующие противогазы.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11.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Понятие «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ервая помощь».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нормативных и правовых актов по организации и оказанию первой помощи.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Цель оказания первой помощи.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Лица, обязанные оказывать первую помощь.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Ответственность за неоказание первой помощи.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Перечень состояний, при которых оказывается первая помощь. Перечень мероприятий по оказанию первой помощи.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Отсутствие сознания. Первая помощь при бессознательном </w:t>
      </w:r>
      <w:r>
        <w:rPr>
          <w:rFonts w:ascii="Times New Roman" w:hAnsi="Times New Roman" w:cs="Times New Roman"/>
          <w:sz w:val="20"/>
          <w:szCs w:val="20"/>
        </w:rPr>
        <w:t xml:space="preserve">с</w:t>
      </w:r>
      <w:r>
        <w:rPr>
          <w:rFonts w:ascii="Times New Roman" w:hAnsi="Times New Roman" w:cs="Times New Roman"/>
          <w:sz w:val="20"/>
          <w:szCs w:val="20"/>
        </w:rPr>
        <w:t xml:space="preserve">остоянии.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Стабильное фиксированное боковое положение.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Остановка дыхания и кровообращения.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Оценка признаков жизни.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вызова скорой помощи.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Проверка проходимости верхних дыхательных путей.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Признаки наличия инородного тела в верхних дыхательных путях, ПП.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Искусственное дыхание.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проведения искусственного дыхания 1 человеком.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проведения искусственного дыхания 2 </w:t>
      </w:r>
      <w:r>
        <w:rPr>
          <w:rFonts w:ascii="Times New Roman" w:hAnsi="Times New Roman" w:cs="Times New Roman"/>
          <w:sz w:val="20"/>
          <w:szCs w:val="20"/>
        </w:rPr>
        <w:t xml:space="preserve">людьми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проведения искусственного дыхания детям.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Признаки эффективности сердечно-легочной реанимации.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 12.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1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Сердечно-легочная реанимация при радиационном, химическом, биологическом заражении.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Наружные кровотечения.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артериальном кровотечении.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венозном кровотечении.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Порядок наложения жгута.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Остановка кровотечения подручными средствами.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капиллярном кровотечении.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Виды травм.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Ожоги, оказание ПП.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Отравления, оказание ПП.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Переломы костей, признаки.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Виды переломов костей.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Общие правила оказания первой помощи при переломах.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Шины лестничные Крамера.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Проведение иммобилизации при переломе плечевой кости подручными средствами.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Обморожение, оказание ПП.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Обще</w:t>
      </w:r>
      <w:r>
        <w:rPr>
          <w:rFonts w:ascii="Times New Roman" w:hAnsi="Times New Roman" w:cs="Times New Roman"/>
          <w:sz w:val="20"/>
          <w:szCs w:val="20"/>
        </w:rPr>
        <w:t xml:space="preserve">е переохлаждение, оказание ПП. </w:t>
      </w:r>
      <w:r>
        <w:rPr>
          <w:rFonts w:ascii="Times New Roman" w:hAnsi="Times New Roman" w:cs="Times New Roman"/>
          <w:sz w:val="20"/>
          <w:szCs w:val="20"/>
        </w:rPr>
        <w:t xml:space="preserve">Электротравма, оказание ПП.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Вывихи, ушибы, оказание ПП.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Растяжение связок оказание ПП.  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13.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обмороке.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коме.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шоке.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приступе бронхиальной астмы.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утоплении.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Личная гигиена военнослужащих.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Понятие об инфекционных заболеваниях и возбудителях.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Источники заражения. Пути распространения инфекционных заболеваний. Меры личной профилактики.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Средства первой медицинской помощи при поражении отравляющими веществами.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Аптечка индивидуальная (АИ).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Пакет перевязочный медицинский индивидуальный стерильный (ППИ).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Пакет противохимический индивидуальный (ИПП-8).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Требования безопасности и правила поведения на зараженной местности.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Агрессивные технические жидкости.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Краткая характеристика поражения агрессивными техническими жидкостями (азотная кислота и ее окислы, перекись водорода и т.д.). Поражения антифризом, метиловым спиртом, дихлорэтаном, этилированным бензином, кислотами и </w:t>
      </w:r>
      <w:r>
        <w:rPr>
          <w:rFonts w:ascii="Times New Roman" w:hAnsi="Times New Roman" w:cs="Times New Roman"/>
          <w:sz w:val="20"/>
          <w:szCs w:val="20"/>
        </w:rPr>
        <w:t xml:space="preserve">щ</w:t>
      </w:r>
      <w:r>
        <w:rPr>
          <w:rFonts w:ascii="Times New Roman" w:hAnsi="Times New Roman" w:cs="Times New Roman"/>
          <w:sz w:val="20"/>
          <w:szCs w:val="20"/>
        </w:rPr>
        <w:t xml:space="preserve">елочами.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Краткая характеристика поражения техническими жидкостями, имеющимися в воинской части.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Первая помощь при поражениях техническими жидкостями.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Семинар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14</w:t>
      </w:r>
      <w:r>
        <w:rPr>
          <w:rFonts w:ascii="Times New Roman" w:hAnsi="Times New Roman" w:cs="Times New Roman"/>
          <w:b/>
          <w:sz w:val="20"/>
          <w:szCs w:val="20"/>
        </w:rPr>
        <w:t xml:space="preserve">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Повязки на область головы.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«чепец» при ранении головы.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«уздечка».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Повязка на один глаз.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на оба глаза.   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Спиральная (фиксирующая) повязка на грудь.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Спиральная повязка на живот.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Крестообразная (восьмиобразная) повязка на лучезапястный сустав.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Черепашья повязка на локтевой сустав сходящая.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Черепашья повязка на локтевой сустав </w:t>
      </w:r>
      <w:r>
        <w:rPr>
          <w:rFonts w:ascii="Times New Roman" w:hAnsi="Times New Roman" w:cs="Times New Roman"/>
          <w:sz w:val="20"/>
          <w:szCs w:val="20"/>
        </w:rPr>
        <w:t xml:space="preserve">расходящая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Отработка приемов по наложению повязки «Перчатка» при ожогах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Термоизолирующая</w:t>
      </w:r>
      <w:r>
        <w:rPr>
          <w:rFonts w:ascii="Times New Roman" w:hAnsi="Times New Roman" w:cs="Times New Roman"/>
          <w:sz w:val="20"/>
          <w:szCs w:val="20"/>
        </w:rPr>
        <w:t xml:space="preserve"> повязка при переохлаждении «Варежка».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Отработка приемов по наложению колосовидной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повязки на 1-й палец кисти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Повязка </w:t>
      </w:r>
      <w:r>
        <w:rPr>
          <w:rFonts w:ascii="Times New Roman" w:hAnsi="Times New Roman" w:cs="Times New Roman"/>
          <w:sz w:val="20"/>
          <w:szCs w:val="20"/>
        </w:rPr>
        <w:t xml:space="preserve">пращевидная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Наложение циркулярной повязки на ногу (руку).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Понятие транспортной иммобилизации.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Оказание первой помощи при подозрении на вывих плечевого сустава.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Оказание первой помощи при подозрении на закрытый перелом костей предплечья.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Оказание первой помощи при подозрении на открытый перелом плечевой кости.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Оказание первой помощи при подозрении на перелом голени.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</w:t>
      </w:r>
      <w:r>
        <w:rPr>
          <w:rFonts w:ascii="Times New Roman" w:hAnsi="Times New Roman" w:cs="Times New Roman"/>
          <w:b/>
          <w:sz w:val="20"/>
          <w:szCs w:val="20"/>
        </w:rPr>
        <w:t xml:space="preserve">еминар 15. (практическая отработка)</w:t>
      </w:r>
      <w:r>
        <w:rPr>
          <w:rFonts w:ascii="Times New Roman" w:hAnsi="Times New Roman" w:cs="Times New Roman"/>
          <w:b/>
          <w:sz w:val="20"/>
          <w:szCs w:val="20"/>
        </w:rPr>
        <w:t xml:space="preserve">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Проведение иммобилизации при переломе плечевой кости подручными средствами.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Проведение иммобилизации при переломе предплечья подручными средствами.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Проведение иммобилизации при переломе бедра подручными средствами.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Остановка кровотечения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одручными средствами.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Остановка кровотечения наложением жгута.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Отработка приемов по наложению повязки «Перчатка» при ожогах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Термоизолирующая</w:t>
      </w:r>
      <w:r>
        <w:rPr>
          <w:rFonts w:ascii="Times New Roman" w:hAnsi="Times New Roman" w:cs="Times New Roman"/>
          <w:sz w:val="20"/>
          <w:szCs w:val="20"/>
        </w:rPr>
        <w:t xml:space="preserve"> повязка при переохлаждении «Варежка».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Отработка приемов по наложению колосовидной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повязки на 1-й палец кисти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Повязка </w:t>
      </w:r>
      <w:r>
        <w:rPr>
          <w:rFonts w:ascii="Times New Roman" w:hAnsi="Times New Roman" w:cs="Times New Roman"/>
          <w:sz w:val="20"/>
          <w:szCs w:val="20"/>
        </w:rPr>
        <w:t xml:space="preserve">пращевидная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Наложение циркулярной повязки на ногу (руку).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Повязки на область головы.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«чепец» при ранении головы.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«уздечка».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на один глаз.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Повязка на оба глаза.   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Спиральная (фиксирующая) повязка на грудь.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Спиральная повязка на живот.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Крестообразная (восьмиобразная) повязка на лучезапястный сустав.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Черепашья повязка на локтевой сустав сходящая.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Черепашья повязка на локтевой сустав </w:t>
      </w:r>
      <w:r>
        <w:rPr>
          <w:rFonts w:ascii="Times New Roman" w:hAnsi="Times New Roman" w:cs="Times New Roman"/>
          <w:sz w:val="20"/>
          <w:szCs w:val="20"/>
        </w:rPr>
        <w:t xml:space="preserve">расходящая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  <w14:ligatures w14:val="non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выполнению:</w: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Выступление-презентация обучающегося должно </w:t>
      </w:r>
      <w:r>
        <w:rPr>
          <w:rFonts w:ascii="Times New Roman" w:hAnsi="Times New Roman" w:cs="Times New Roman"/>
          <w:sz w:val="20"/>
          <w:szCs w:val="20"/>
        </w:rPr>
        <w:t xml:space="preserve">представлять собой устное сообщение на определённую тему и излагаться в свободной форме, без чтения письменного подготовленного текста. В процессе выступления можно использовать подготовленные заранее вспомогательные материалы: план выступления или тезисы.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подготовке доклада-презентации студент должен подобрать литературу по выбранной теме (не менее 5 источников), проанализировать её и системно изложить результаты этого анализа. 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Работа представляется в форме доклада – презентации,  время презентации 10-15 минут, объем 20-25 слайдов, текст доклада в редакторе WORD.</w:t>
      </w:r>
      <w:r/>
    </w:p>
    <w:p>
      <w:pPr>
        <w:ind w:firstLine="284"/>
        <w:jc w:val="both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этом помимо оценки качества оформления работы, так же оценивается</w:t>
      </w:r>
      <w:r>
        <w:rPr>
          <w:rFonts w:ascii="Times New Roman" w:hAnsi="Times New Roman" w:cs="Times New Roman"/>
          <w:sz w:val="20"/>
          <w:szCs w:val="20"/>
        </w:rPr>
        <w:t xml:space="preserve"> наличие собственных умозаключений, степень аргументации выводов, уровень и качество владения представляемого материала, наличие анализа современной литературы, стиль и язык изложения материала работы, уверенность и профессионализм при выступлении по теме.</w:t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SPbGIK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Шерстнева Яна Валерьевна</dc:creator>
  <cp:keywords/>
  <dc:description/>
  <cp:revision>11</cp:revision>
  <dcterms:created xsi:type="dcterms:W3CDTF">2024-02-06T07:27:00Z</dcterms:created>
  <dcterms:modified xsi:type="dcterms:W3CDTF">2024-03-27T11:45:36Z</dcterms:modified>
</cp:coreProperties>
</file>