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80" w:rsidRDefault="00B62C38">
      <w:pPr>
        <w:pStyle w:val="normal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311D80" w:rsidRDefault="00311D80">
      <w:pPr>
        <w:pStyle w:val="normal"/>
        <w:spacing w:after="0" w:line="240" w:lineRule="auto"/>
        <w:ind w:right="7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тексту публикации</w:t>
      </w:r>
      <w:r>
        <w:rPr>
          <w:rFonts w:ascii="Times New Roman" w:eastAsia="Times New Roman" w:hAnsi="Times New Roman" w:cs="Times New Roman"/>
          <w:sz w:val="28"/>
          <w:szCs w:val="28"/>
        </w:rPr>
        <w:t>.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едоставляемой статьи должен быть оригинальным (ранее не публиковавшимся в сети Интернет, в печатных и электронных СМИ и сборниках). Не принимаются статьи, представляющие собой параграфы или главы из уже опубликованных авторских монографий и диссертаций. Текст должен быть выдержан в жанре научной статьи.</w:t>
      </w:r>
    </w:p>
    <w:p w:rsidR="00311D80" w:rsidRDefault="00B62C3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Гарнитура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кегль – 14, интервал – 1.5</w:t>
      </w:r>
      <w:r>
        <w:rPr>
          <w:rFonts w:ascii="Times New Roman" w:eastAsia="Times New Roman" w:hAnsi="Times New Roman" w:cs="Times New Roman"/>
          <w:sz w:val="28"/>
          <w:szCs w:val="28"/>
        </w:rPr>
        <w:t>. В тексте не должно быть лишних пробелов и абзацев.</w:t>
      </w:r>
    </w:p>
    <w:p w:rsidR="00311D80" w:rsidRDefault="00B62C3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цитаты в тексте статьи должны иметь ссылку на библиографическое описание источника, оформленное строго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7.0.5.–2008. Библиографическая ссылка: общие требования и правила составления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требований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7.0.12–2011. Библиографическая запись: сокращение слов и словосочетаний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. Достоверность всех количественных характеристик, статистических данных и т. п. должна быть подтверждена примечанием с указанием источника. Все примечания (ссылки), содержащие библиографическое описание, должны быть оформлены по указанным выше стандартам.</w:t>
      </w:r>
    </w:p>
    <w:p w:rsidR="00311D80" w:rsidRDefault="00B62C3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файла статьи. </w:t>
      </w:r>
      <w:r>
        <w:rPr>
          <w:rFonts w:ascii="Times New Roman" w:eastAsia="Times New Roman" w:hAnsi="Times New Roman" w:cs="Times New Roman"/>
          <w:sz w:val="28"/>
          <w:szCs w:val="28"/>
        </w:rPr>
        <w:t>Текстовый файл должен содержать:</w:t>
      </w:r>
    </w:p>
    <w:p w:rsidR="00311D80" w:rsidRDefault="00B62C3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авторе на двух языках (с указанием основного места работы, которое будет отображено в РИНЦ); обязательно электронный адрес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инициалы, фамилия автора название статьи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аннотации ключевые слова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имя, фамилия автора на английском языке 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статьи на английском языке текст аннотации на английском языке ключевые слова на английском языке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атьи</w:t>
      </w:r>
    </w:p>
    <w:p w:rsidR="00311D80" w:rsidRDefault="00B62C3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аннотации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Текст аннотации – не более 400 знаков. Аннотация должна быть написана от третьего лица. Текст должен отражать основные проблемы, затронутые автором в статье.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Акцент должен быть сделан на новизне исследования, оригинальности источников, неординарности подхода к теме и т. п. Не рекомендуется начинать текст аннотации словами «В статье…» и т. п. Следует избегать в тексте аннотации словосочетаний типа «автор считает…» и т. п. (см.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ГОСТ 7.9–95.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Реферат и аннотация: общие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311D80" w:rsidRDefault="00B62C3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 должны содержать: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 имя отчество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почетные звания, ученая степень, ученое звание должность на основном месте работы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– обязательно (если нет своего, то адрес места работы или членов семьи)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(рабочий, домашний, мобильный) почтовый индекс, почтовый адрес (для иногородних авторов)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Личная информация: день месяц год рождения в формате 12.12.2012, паспорт кем выдан, когда выдан, почтовый индекс и почтовый адрес регистрации (для оформления договора)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информации на английском языке. </w:t>
      </w:r>
      <w:r>
        <w:rPr>
          <w:rFonts w:ascii="Times New Roman" w:eastAsia="Times New Roman" w:hAnsi="Times New Roman" w:cs="Times New Roman"/>
          <w:sz w:val="28"/>
          <w:szCs w:val="28"/>
        </w:rPr>
        <w:t>На английский язык должны быть переведены: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статьи 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степень, 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ученое звание, 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почетные звания, 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по основному месту работы</w:t>
      </w:r>
    </w:p>
    <w:p w:rsidR="00311D80" w:rsidRDefault="00B62C38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автора статьи должны быть транслитерированы по правилам УФМС РФ.</w:t>
      </w:r>
    </w:p>
    <w:p w:rsidR="00311D80" w:rsidRDefault="00B62C38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присылается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одним файлом </w:t>
      </w:r>
      <w:r>
        <w:rPr>
          <w:rFonts w:ascii="Times New Roman" w:eastAsia="Times New Roman" w:hAnsi="Times New Roman" w:cs="Times New Roman"/>
          <w:sz w:val="28"/>
          <w:szCs w:val="28"/>
        </w:rPr>
        <w:t>со статьей в форматах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подобных. Файл может содержать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только 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тексте статьи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 должно быть никакого иллюстративного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>(графики, рисунки, иллюстрации, диаграммы и др.). Название файла должно содержать фамилию автора статьи.</w:t>
      </w:r>
    </w:p>
    <w:p w:rsidR="00311D80" w:rsidRDefault="00311D80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Рецензия на статью не требуется.</w:t>
      </w:r>
    </w:p>
    <w:p w:rsidR="00311D80" w:rsidRDefault="00B62C38">
      <w:pPr>
        <w:pStyle w:val="normal"/>
        <w:spacing w:after="0" w:line="240" w:lineRule="auto"/>
        <w:ind w:left="142" w:right="1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 услуги по рецензированию и публикации бесплатные.</w:t>
      </w:r>
    </w:p>
    <w:p w:rsidR="00311D80" w:rsidRDefault="00311D80">
      <w:pPr>
        <w:pStyle w:val="normal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311D80">
      <w:pPr>
        <w:pStyle w:val="normal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статьи</w:t>
      </w:r>
    </w:p>
    <w:p w:rsidR="00311D80" w:rsidRDefault="00311D80">
      <w:pPr>
        <w:pStyle w:val="normal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УДК …</w:t>
      </w:r>
    </w:p>
    <w:p w:rsidR="00311D80" w:rsidRDefault="00311D80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D80" w:rsidRDefault="00B62C38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 Григорий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доктор философских наук, профессор, профессор кафедры теории и истории культуры Санкт-Петербургского государственного института культуры.</w:t>
      </w:r>
    </w:p>
    <w:p w:rsidR="00311D80" w:rsidRDefault="00B62C3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Федерация, Санкт-Петербург.</w:t>
      </w:r>
    </w:p>
    <w:p w:rsidR="00311D80" w:rsidRDefault="00B62C3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ikon.08@inbox.ru</w:t>
      </w:r>
    </w:p>
    <w:p w:rsidR="00311D80" w:rsidRDefault="00B62C38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 (812) 318-97-70</w:t>
      </w:r>
    </w:p>
    <w:p w:rsidR="00311D80" w:rsidRDefault="00B62C38">
      <w:pPr>
        <w:pStyle w:val="2"/>
        <w:spacing w:before="0" w:after="0" w:line="360" w:lineRule="auto"/>
      </w:pPr>
      <w:bookmarkStart w:id="0" w:name="_gjdgxs" w:colFirst="0" w:colLast="0"/>
      <w:bookmarkEnd w:id="0"/>
      <w:r>
        <w:t>Г.Н. Иванов</w:t>
      </w:r>
    </w:p>
    <w:p w:rsidR="00311D80" w:rsidRDefault="00B62C38">
      <w:pPr>
        <w:pStyle w:val="3"/>
        <w:spacing w:before="0" w:after="0" w:line="360" w:lineRule="auto"/>
        <w:ind w:firstLine="0"/>
      </w:pPr>
      <w:r>
        <w:t>Аксиология культурных индустрий</w:t>
      </w:r>
    </w:p>
    <w:p w:rsidR="00311D80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статье поднимается вопрос о специфике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аксиологической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 в деятельности культурных индустрий. Указывается,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аксиосфера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массовой культуры носит сложный характер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культурных индустрий…</w:t>
      </w:r>
    </w:p>
    <w:p w:rsidR="00311D80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Ключевые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ценности культуры, культурные индустрии, общество потребления…</w:t>
      </w:r>
    </w:p>
    <w:p w:rsidR="00311D80" w:rsidRPr="007D0107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7D01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val="en-US"/>
        </w:rPr>
        <w:t>G.N. </w:t>
      </w:r>
      <w:proofErr w:type="spellStart"/>
      <w:r w:rsidRPr="007D01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val="en-US"/>
        </w:rPr>
        <w:t>Ivanov</w:t>
      </w:r>
      <w:proofErr w:type="spellEnd"/>
    </w:p>
    <w:p w:rsidR="00311D80" w:rsidRPr="007D0107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en-US"/>
        </w:rPr>
      </w:pPr>
      <w:r w:rsidRPr="007D010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Axiology of cultural industries</w:t>
      </w:r>
    </w:p>
    <w:p w:rsidR="00311D80" w:rsidRPr="007D0107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 w:rsidRPr="007D0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Annotation</w:t>
      </w:r>
      <w:r w:rsidRPr="007D01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7D01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The article raises the question of the specifics of the axiological load in the activities of cultural industries. It is indicated that the </w:t>
      </w:r>
      <w:proofErr w:type="spellStart"/>
      <w:r w:rsidRPr="007D01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axiosphere</w:t>
      </w:r>
      <w:proofErr w:type="spellEnd"/>
      <w:r w:rsidRPr="007D01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of mass culture is complex and is programmed, including through cultural industries…</w:t>
      </w:r>
    </w:p>
    <w:p w:rsidR="00311D80" w:rsidRPr="007D0107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D0107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en-US"/>
        </w:rPr>
        <w:t>Keywords</w:t>
      </w:r>
      <w:r w:rsidRPr="007D01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: cultural values, cultural industries, consumer society…</w:t>
      </w:r>
    </w:p>
    <w:p w:rsidR="00311D80" w:rsidRPr="007D0107" w:rsidRDefault="00311D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1D80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социгуманитарных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науках и в публицистических текстах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 тезис, согласно которому культурные индустрии предстают как нечто исключительно привлекательное, творчески заряженное. При этом речь, как правило, идет не о содержании, не об их ценностном наполнении, а исключительно о механике,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культурных индустрий. Данная сфера предстает как нечто априори позитивное.</w:t>
      </w:r>
    </w:p>
    <w:p w:rsidR="00311D80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тем анализ деятельности многих культурных индустрий показывает их явную неоднородность по части ценностно-смысловых аспектов, по части того, какое влияние они оказывают на сознание и поведение людей. Диапазон этих влияний может быть весьма широк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 положительных до крайне сомнительных. В свете указанных обстоятельств культурные индустрии предстают лишь инструментом, который может транслировать самые разные смыслы и установки.</w:t>
      </w:r>
    </w:p>
    <w:p w:rsidR="00311D80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оформления сноски «…….»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D80" w:rsidRDefault="00311D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D80" w:rsidRDefault="00311D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30j0zll" w:colFirst="0" w:colLast="0"/>
      <w:bookmarkEnd w:id="1"/>
    </w:p>
    <w:p w:rsidR="00311D80" w:rsidRDefault="00311D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D80" w:rsidRDefault="00311D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D80" w:rsidRDefault="00B62C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</w:t>
      </w:r>
    </w:p>
    <w:p w:rsidR="00311D80" w:rsidRDefault="00311D8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D80" w:rsidRDefault="00B62C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 А. Символизм как миропонимание / А. Белый; Сост., вступ. ст. и прим. Л. А.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Москва: Республика, 1994. – 528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D80" w:rsidRDefault="00B62C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 О. Икона в русском авангарде 1910-1920 гг. / О. Тарасов // Искусство. – 1992. – № 1. – С. 49-53.</w:t>
      </w:r>
    </w:p>
    <w:p w:rsidR="00311D80" w:rsidRDefault="00B62C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Флорида 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люди, которые меняют будущее / Р. Флорида; пер. с англ. А. Константинова. – Москва: Классика-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2007. – 421 с.</w:t>
      </w:r>
    </w:p>
    <w:p w:rsidR="00311D80" w:rsidRDefault="00311D80">
      <w:pPr>
        <w:pStyle w:val="normal"/>
        <w:spacing w:after="0" w:line="36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1D80" w:rsidSect="00311D80">
      <w:footerReference w:type="default" r:id="rId7"/>
      <w:pgSz w:w="11906" w:h="16838"/>
      <w:pgMar w:top="1134" w:right="991" w:bottom="1134" w:left="1134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67" w:rsidRDefault="00157167" w:rsidP="00311D80">
      <w:pPr>
        <w:spacing w:after="0" w:line="240" w:lineRule="auto"/>
      </w:pPr>
      <w:r>
        <w:separator/>
      </w:r>
    </w:p>
  </w:endnote>
  <w:endnote w:type="continuationSeparator" w:id="0">
    <w:p w:rsidR="00157167" w:rsidRDefault="00157167" w:rsidP="0031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0" w:rsidRDefault="001375E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62C38">
      <w:rPr>
        <w:color w:val="000000"/>
      </w:rPr>
      <w:instrText>PAGE</w:instrText>
    </w:r>
    <w:r>
      <w:rPr>
        <w:color w:val="000000"/>
      </w:rPr>
      <w:fldChar w:fldCharType="separate"/>
    </w:r>
    <w:r w:rsidR="008D7F31">
      <w:rPr>
        <w:noProof/>
        <w:color w:val="000000"/>
      </w:rPr>
      <w:t>1</w:t>
    </w:r>
    <w:r>
      <w:rPr>
        <w:color w:val="000000"/>
      </w:rPr>
      <w:fldChar w:fldCharType="end"/>
    </w:r>
  </w:p>
  <w:p w:rsidR="00311D80" w:rsidRDefault="00311D8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67" w:rsidRDefault="00157167" w:rsidP="00311D80">
      <w:pPr>
        <w:spacing w:after="0" w:line="240" w:lineRule="auto"/>
      </w:pPr>
      <w:r>
        <w:separator/>
      </w:r>
    </w:p>
  </w:footnote>
  <w:footnote w:type="continuationSeparator" w:id="0">
    <w:p w:rsidR="00157167" w:rsidRDefault="00157167" w:rsidP="00311D80">
      <w:pPr>
        <w:spacing w:after="0" w:line="240" w:lineRule="auto"/>
      </w:pPr>
      <w:r>
        <w:continuationSeparator/>
      </w:r>
    </w:p>
  </w:footnote>
  <w:footnote w:id="1">
    <w:p w:rsidR="00311D80" w:rsidRDefault="00B62C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Белый А. Символизм как миропонимание / Сост., вступ. ст. и прим. Л.А.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Сугай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М., 1994. С. 100.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E41"/>
    <w:multiLevelType w:val="multilevel"/>
    <w:tmpl w:val="A1FA78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47213"/>
    <w:multiLevelType w:val="multilevel"/>
    <w:tmpl w:val="176E56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80"/>
    <w:rsid w:val="001375EA"/>
    <w:rsid w:val="00157167"/>
    <w:rsid w:val="00311D80"/>
    <w:rsid w:val="007D0107"/>
    <w:rsid w:val="008D7F31"/>
    <w:rsid w:val="00B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EA"/>
  </w:style>
  <w:style w:type="paragraph" w:styleId="1">
    <w:name w:val="heading 1"/>
    <w:basedOn w:val="normal"/>
    <w:next w:val="normal"/>
    <w:rsid w:val="00311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11D80"/>
    <w:pPr>
      <w:keepNext/>
      <w:spacing w:before="240" w:after="6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3">
    <w:name w:val="heading 3"/>
    <w:basedOn w:val="normal"/>
    <w:next w:val="normal"/>
    <w:rsid w:val="00311D80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normal"/>
    <w:next w:val="normal"/>
    <w:rsid w:val="00311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11D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11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1D80"/>
  </w:style>
  <w:style w:type="table" w:customStyle="1" w:styleId="TableNormal">
    <w:name w:val="Table Normal"/>
    <w:rsid w:val="00311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11D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11D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1D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4652</Characters>
  <Application>Microsoft Office Word</Application>
  <DocSecurity>0</DocSecurity>
  <Lines>38</Lines>
  <Paragraphs>10</Paragraphs>
  <ScaleCrop>false</ScaleCrop>
  <Company>gik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нерастенкона</cp:lastModifiedBy>
  <cp:revision>5</cp:revision>
  <dcterms:created xsi:type="dcterms:W3CDTF">2024-01-29T11:11:00Z</dcterms:created>
  <dcterms:modified xsi:type="dcterms:W3CDTF">2024-01-29T11:13:00Z</dcterms:modified>
</cp:coreProperties>
</file>